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6" w:rsidRPr="00E063D6" w:rsidRDefault="00E063D6" w:rsidP="00E063D6">
      <w:pPr>
        <w:keepNext/>
        <w:pBdr>
          <w:top w:val="none" w:sz="0" w:space="1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Times New Roman"/>
          <w:b/>
          <w:i/>
          <w:color w:val="1F3864"/>
          <w:sz w:val="20"/>
          <w:lang w:eastAsia="zh-CN"/>
        </w:rPr>
      </w:pPr>
      <w:proofErr w:type="spellStart"/>
      <w:r w:rsidRPr="00E063D6">
        <w:rPr>
          <w:rFonts w:ascii="Arial" w:eastAsia="Times New Roman" w:hAnsi="Arial" w:cs="Times New Roman"/>
          <w:b/>
          <w:color w:val="1F3864"/>
          <w:sz w:val="20"/>
          <w:lang w:eastAsia="zh-CN"/>
        </w:rPr>
        <w:t>ΠΑΡΑΡΤΗΜA</w:t>
      </w:r>
      <w:proofErr w:type="spellEnd"/>
      <w:r w:rsidRPr="00E063D6">
        <w:rPr>
          <w:rFonts w:ascii="Arial" w:eastAsia="Times New Roman" w:hAnsi="Arial" w:cs="Times New Roman"/>
          <w:b/>
          <w:color w:val="1F3864"/>
          <w:sz w:val="20"/>
          <w:lang w:eastAsia="zh-CN"/>
        </w:rPr>
        <w:t xml:space="preserve"> III – ΥΠΟΔΕΙΓΜΑ ΟΙΚΟΝΟΜΙΚΗΣ ΠΡΟΣΦΟΡΑΣ</w:t>
      </w:r>
    </w:p>
    <w:p w:rsidR="00E063D6" w:rsidRPr="00E063D6" w:rsidRDefault="00E063D6" w:rsidP="00E063D6">
      <w:pPr>
        <w:suppressAutoHyphens/>
        <w:spacing w:after="120" w:line="240" w:lineRule="auto"/>
        <w:jc w:val="both"/>
        <w:rPr>
          <w:rFonts w:ascii="Calibri" w:eastAsia="Times New Roman" w:hAnsi="Calibri" w:cs="Arial"/>
        </w:rPr>
      </w:pPr>
    </w:p>
    <w:p w:rsidR="00E063D6" w:rsidRPr="00A61C45" w:rsidRDefault="00E063D6" w:rsidP="00A61C45">
      <w:pPr>
        <w:suppressAutoHyphens/>
        <w:spacing w:after="120" w:line="240" w:lineRule="auto"/>
        <w:jc w:val="both"/>
        <w:rPr>
          <w:rFonts w:ascii="Calibri" w:eastAsia="Times New Roman" w:hAnsi="Calibri" w:cs="Arial"/>
          <w:lang w:val="en-US"/>
        </w:rPr>
      </w:pPr>
      <w:r w:rsidRPr="00A61C45">
        <w:rPr>
          <w:rFonts w:ascii="Calibri" w:eastAsia="Times New Roman" w:hAnsi="Calibri" w:cs="Arial"/>
        </w:rPr>
        <w:t xml:space="preserve">ΟΙΚΟΝΟΜΙΚΗ ΠΡΟΣΦΟΡΑ ΓΙΑ ΤΗΝ </w:t>
      </w:r>
      <w:r w:rsidR="00A61C45" w:rsidRPr="00A61C45">
        <w:rPr>
          <w:rFonts w:ascii="Calibri" w:eastAsia="Times New Roman" w:hAnsi="Calibri" w:cs="Arial"/>
        </w:rPr>
        <w:t xml:space="preserve">ΥΠ’ </w:t>
      </w:r>
      <w:proofErr w:type="spellStart"/>
      <w:r w:rsidR="00A61C45" w:rsidRPr="00A61C45">
        <w:rPr>
          <w:rFonts w:ascii="Calibri" w:eastAsia="Times New Roman" w:hAnsi="Calibri" w:cs="Arial"/>
        </w:rPr>
        <w:t>ΑΡΙΘΜ</w:t>
      </w:r>
      <w:proofErr w:type="spellEnd"/>
      <w:r w:rsidR="00A61C45" w:rsidRPr="00A61C45">
        <w:rPr>
          <w:rFonts w:ascii="Calibri" w:eastAsia="Times New Roman" w:hAnsi="Calibri" w:cs="Arial"/>
        </w:rPr>
        <w:t xml:space="preserve">. 10054/28-8-2019 </w:t>
      </w:r>
      <w:r w:rsidRPr="00A61C45">
        <w:rPr>
          <w:rFonts w:ascii="Calibri" w:eastAsia="Times New Roman" w:hAnsi="Calibri" w:cs="Arial"/>
        </w:rPr>
        <w:t>ΔΙΑΚΗΡΥΞΗ</w:t>
      </w:r>
      <w:r w:rsidRPr="00E063D6">
        <w:rPr>
          <w:rFonts w:ascii="Calibri" w:eastAsia="Times New Roman" w:hAnsi="Calibri" w:cs="Arial"/>
        </w:rPr>
        <w:t xml:space="preserve"> </w:t>
      </w:r>
    </w:p>
    <w:p w:rsidR="00E063D6" w:rsidRPr="00A61C45" w:rsidRDefault="00E063D6" w:rsidP="00A61C45">
      <w:pPr>
        <w:suppressAutoHyphens/>
        <w:spacing w:after="120" w:line="360" w:lineRule="auto"/>
        <w:jc w:val="both"/>
        <w:rPr>
          <w:rFonts w:ascii="Calibri" w:eastAsia="Times New Roman" w:hAnsi="Calibri" w:cs="Arial"/>
          <w:b/>
        </w:rPr>
      </w:pPr>
      <w:r w:rsidRPr="00E063D6">
        <w:rPr>
          <w:rFonts w:ascii="Calibri" w:eastAsia="Times New Roman" w:hAnsi="Calibri" w:cs="Calibri"/>
          <w:szCs w:val="24"/>
          <w:lang w:eastAsia="zh-CN"/>
        </w:rPr>
        <w:t>«Ανάθεση Υπηρεσιών Υποστήριξης και την Προμήθεια Εξοπλισμού για την Υλοποίηση Δράσεων στο πλαίσιο του έργου ‘</w:t>
      </w:r>
      <w:r w:rsidRPr="00E063D6">
        <w:rPr>
          <w:rFonts w:ascii="Calibri" w:eastAsia="Times New Roman" w:hAnsi="Calibri" w:cs="Calibri"/>
          <w:szCs w:val="24"/>
          <w:lang w:val="en-US" w:eastAsia="zh-CN"/>
        </w:rPr>
        <w:t>Primary</w:t>
      </w:r>
      <w:r w:rsidRPr="00E063D6">
        <w:rPr>
          <w:rFonts w:ascii="Calibri" w:eastAsia="Times New Roman" w:hAnsi="Calibri" w:cs="Calibri"/>
          <w:szCs w:val="24"/>
          <w:lang w:eastAsia="zh-CN"/>
        </w:rPr>
        <w:t xml:space="preserve"> </w:t>
      </w:r>
      <w:r w:rsidRPr="00E063D6">
        <w:rPr>
          <w:rFonts w:ascii="Calibri" w:eastAsia="Times New Roman" w:hAnsi="Calibri" w:cs="Calibri"/>
          <w:szCs w:val="24"/>
          <w:lang w:val="en-US" w:eastAsia="zh-CN"/>
        </w:rPr>
        <w:t>Healthcare</w:t>
      </w:r>
      <w:r w:rsidRPr="00E063D6">
        <w:rPr>
          <w:rFonts w:ascii="Calibri" w:eastAsia="Times New Roman" w:hAnsi="Calibri" w:cs="Calibri"/>
          <w:szCs w:val="24"/>
          <w:lang w:eastAsia="zh-CN"/>
        </w:rPr>
        <w:t xml:space="preserve"> </w:t>
      </w:r>
      <w:r w:rsidRPr="00E063D6">
        <w:rPr>
          <w:rFonts w:ascii="Calibri" w:eastAsia="Times New Roman" w:hAnsi="Calibri" w:cs="Calibri"/>
          <w:szCs w:val="24"/>
          <w:lang w:val="en-US" w:eastAsia="zh-CN"/>
        </w:rPr>
        <w:t>Network</w:t>
      </w:r>
      <w:r w:rsidRPr="00E063D6">
        <w:rPr>
          <w:rFonts w:ascii="Calibri" w:eastAsia="Times New Roman" w:hAnsi="Calibri" w:cs="Calibri"/>
          <w:szCs w:val="24"/>
          <w:lang w:eastAsia="zh-CN"/>
        </w:rPr>
        <w:t>’, με ακρωνύμιο ‘</w:t>
      </w:r>
      <w:proofErr w:type="spellStart"/>
      <w:r w:rsidRPr="00E063D6">
        <w:rPr>
          <w:rFonts w:ascii="Calibri" w:eastAsia="Times New Roman" w:hAnsi="Calibri" w:cs="Calibri"/>
          <w:szCs w:val="24"/>
          <w:lang w:val="en-US" w:eastAsia="zh-CN"/>
        </w:rPr>
        <w:t>HealthNET</w:t>
      </w:r>
      <w:proofErr w:type="spellEnd"/>
      <w:r w:rsidRPr="00E063D6">
        <w:rPr>
          <w:rFonts w:ascii="Calibri" w:eastAsia="Times New Roman" w:hAnsi="Calibri" w:cs="Calibri"/>
          <w:szCs w:val="24"/>
          <w:lang w:eastAsia="zh-CN"/>
        </w:rPr>
        <w:t>’», που έχει ενταχθεί στο Πρόγραμμα Ευρωπαϊκής Εδαφικής Συνεργασίας ‘</w:t>
      </w:r>
      <w:proofErr w:type="spellStart"/>
      <w:r w:rsidRPr="00E063D6">
        <w:rPr>
          <w:rFonts w:ascii="Calibri" w:eastAsia="Times New Roman" w:hAnsi="Calibri" w:cs="Calibri"/>
          <w:szCs w:val="24"/>
          <w:lang w:eastAsia="zh-CN"/>
        </w:rPr>
        <w:t>INTERREG</w:t>
      </w:r>
      <w:proofErr w:type="spellEnd"/>
      <w:r w:rsidRPr="00E063D6">
        <w:rPr>
          <w:rFonts w:ascii="Calibri" w:eastAsia="Times New Roman" w:hAnsi="Calibri" w:cs="Calibri"/>
          <w:szCs w:val="24"/>
          <w:lang w:eastAsia="zh-CN"/>
        </w:rPr>
        <w:t xml:space="preserve"> </w:t>
      </w:r>
      <w:proofErr w:type="spellStart"/>
      <w:r w:rsidRPr="00E063D6">
        <w:rPr>
          <w:rFonts w:ascii="Calibri" w:eastAsia="Times New Roman" w:hAnsi="Calibri" w:cs="Calibri"/>
          <w:szCs w:val="24"/>
          <w:lang w:eastAsia="zh-CN"/>
        </w:rPr>
        <w:t>IPA</w:t>
      </w:r>
      <w:proofErr w:type="spellEnd"/>
      <w:r w:rsidRPr="00E063D6">
        <w:rPr>
          <w:rFonts w:ascii="Calibri" w:eastAsia="Times New Roman" w:hAnsi="Calibri" w:cs="Calibri"/>
          <w:szCs w:val="24"/>
          <w:lang w:eastAsia="zh-CN"/>
        </w:rPr>
        <w:t xml:space="preserve"> </w:t>
      </w:r>
      <w:proofErr w:type="spellStart"/>
      <w:r w:rsidRPr="00E063D6">
        <w:rPr>
          <w:rFonts w:ascii="Calibri" w:eastAsia="Times New Roman" w:hAnsi="Calibri" w:cs="Calibri"/>
          <w:szCs w:val="24"/>
          <w:lang w:eastAsia="zh-CN"/>
        </w:rPr>
        <w:t>CBC</w:t>
      </w:r>
      <w:proofErr w:type="spellEnd"/>
      <w:r w:rsidRPr="00E063D6">
        <w:rPr>
          <w:rFonts w:ascii="Calibri" w:eastAsia="Times New Roman" w:hAnsi="Calibri" w:cs="Calibri"/>
          <w:szCs w:val="24"/>
          <w:lang w:eastAsia="zh-CN"/>
        </w:rPr>
        <w:t xml:space="preserve"> Ελλάδα-</w:t>
      </w:r>
      <w:proofErr w:type="spellStart"/>
      <w:r w:rsidRPr="00E063D6">
        <w:rPr>
          <w:rFonts w:ascii="Calibri" w:eastAsia="Times New Roman" w:hAnsi="Calibri" w:cs="Calibri"/>
          <w:szCs w:val="24"/>
          <w:lang w:eastAsia="zh-CN"/>
        </w:rPr>
        <w:t>FYROM</w:t>
      </w:r>
      <w:proofErr w:type="spellEnd"/>
      <w:r w:rsidRPr="00E063D6">
        <w:rPr>
          <w:rFonts w:ascii="Calibri" w:eastAsia="Times New Roman" w:hAnsi="Calibri" w:cs="Calibri"/>
          <w:szCs w:val="24"/>
          <w:lang w:eastAsia="zh-CN"/>
        </w:rPr>
        <w:t xml:space="preserve"> 2014-2020’, με κριτήριο ανάθεσης την πλέον συμφέρουσα από οικονομική άποψη προσφορά βάσει βέλτιστης σχέσης ποιότητας – τιμής ανά Τμήμα</w:t>
      </w:r>
      <w:r w:rsidRPr="00E063D6">
        <w:rPr>
          <w:rFonts w:ascii="Calibri" w:eastAsia="Times New Roman" w:hAnsi="Calibri" w:cs="Arial"/>
          <w:b/>
        </w:rPr>
        <w:t>.</w:t>
      </w:r>
    </w:p>
    <w:p w:rsidR="00E063D6" w:rsidRDefault="00E063D6" w:rsidP="00E063D6">
      <w:pPr>
        <w:suppressAutoHyphens/>
        <w:spacing w:after="120" w:line="240" w:lineRule="auto"/>
        <w:jc w:val="both"/>
        <w:rPr>
          <w:rFonts w:ascii="Calibri" w:eastAsia="Times New Roman" w:hAnsi="Calibri" w:cs="Arial"/>
        </w:rPr>
      </w:pPr>
      <w:r w:rsidRPr="00E063D6">
        <w:rPr>
          <w:rFonts w:ascii="Calibri" w:eastAsia="Times New Roman" w:hAnsi="Calibri" w:cs="Arial"/>
        </w:rPr>
        <w:t>ΣΤΟΙΧΕΙΑ ΟΙΚΟΝΟΜΙΚΟΥ ΦΟΡΕΑ</w:t>
      </w:r>
    </w:p>
    <w:p w:rsidR="00A61C45" w:rsidRPr="00A61C45" w:rsidRDefault="00A61C45" w:rsidP="00A61C45">
      <w:pPr>
        <w:suppressAutoHyphens/>
        <w:spacing w:after="120" w:line="240" w:lineRule="auto"/>
        <w:jc w:val="both"/>
        <w:rPr>
          <w:rFonts w:ascii="Calibri" w:eastAsia="Times New Roman" w:hAnsi="Calibri" w:cs="Arial"/>
          <w:lang w:val="en-US"/>
        </w:rPr>
      </w:pPr>
    </w:p>
    <w:tbl>
      <w:tblPr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57"/>
        <w:gridCol w:w="3022"/>
        <w:gridCol w:w="1838"/>
        <w:gridCol w:w="1593"/>
        <w:gridCol w:w="1840"/>
      </w:tblGrid>
      <w:tr w:rsidR="00A61C45" w:rsidRPr="00A61C45" w:rsidTr="00C236B4">
        <w:trPr>
          <w:trHeight w:val="1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ΤΜΗΜΑ Α’</w:t>
            </w:r>
          </w:p>
        </w:tc>
      </w:tr>
      <w:tr w:rsidR="00A61C45" w:rsidRPr="00A61C45" w:rsidTr="00C236B4">
        <w:trPr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Α/Α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ΤΙΤΛΟΣ ΠΑΡΑΔΟΤΕΟΥ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ΠΡΟΣΦΕΡΟΜΕΝΗ ΤΙΜΗ ΧΩΡΙΣ ΦΠΑ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ΜΕ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</w:tr>
      <w:tr w:rsidR="00A61C45" w:rsidRPr="00A61C45" w:rsidTr="00C236B4">
        <w:trPr>
          <w:trHeight w:val="208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4.1.2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US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Προμήθει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>α ια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τρικού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εξο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>πλισμού (Supply of medical equipment)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A61C45" w:rsidRPr="00A61C45" w:rsidTr="00C236B4">
        <w:trPr>
          <w:trHeight w:val="240"/>
        </w:trPr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ΣΥΝΟΛΟ ΤΜΗΜΑΤΟΣ Α’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</w:tr>
    </w:tbl>
    <w:p w:rsidR="00A61C45" w:rsidRPr="00A61C45" w:rsidRDefault="00A61C45" w:rsidP="00A61C45">
      <w:pPr>
        <w:suppressAutoHyphens/>
        <w:spacing w:after="120" w:line="240" w:lineRule="auto"/>
        <w:jc w:val="both"/>
        <w:rPr>
          <w:rFonts w:ascii="Calibri" w:eastAsia="Times New Roman" w:hAnsi="Calibri" w:cs="Arial"/>
          <w:lang w:val="en-US"/>
        </w:rPr>
      </w:pPr>
    </w:p>
    <w:tbl>
      <w:tblPr>
        <w:tblpPr w:leftFromText="180" w:rightFromText="180" w:vertAnchor="text" w:horzAnchor="margin" w:tblpXSpec="center" w:tblpY="184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6082"/>
      </w:tblGrid>
      <w:tr w:rsidR="00A61C45" w:rsidRPr="00A61C45" w:rsidTr="00A61C45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) </w:t>
            </w:r>
          </w:p>
        </w:tc>
        <w:tc>
          <w:tcPr>
            <w:tcW w:w="6082" w:type="dxa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A61C45" w:rsidRPr="00A61C45" w:rsidTr="00A61C45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)</w:t>
            </w:r>
          </w:p>
        </w:tc>
        <w:tc>
          <w:tcPr>
            <w:tcW w:w="6082" w:type="dxa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</w:tbl>
    <w:p w:rsidR="00A61C45" w:rsidRPr="00A61C45" w:rsidRDefault="00A61C45" w:rsidP="00A61C45">
      <w:pPr>
        <w:suppressAutoHyphens/>
        <w:spacing w:after="120" w:line="240" w:lineRule="auto"/>
        <w:jc w:val="both"/>
        <w:rPr>
          <w:rFonts w:ascii="Calibri" w:eastAsia="Times New Roman" w:hAnsi="Calibri" w:cs="Arial"/>
          <w:lang w:val="en-US"/>
        </w:rPr>
      </w:pPr>
    </w:p>
    <w:tbl>
      <w:tblPr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57"/>
        <w:gridCol w:w="3022"/>
        <w:gridCol w:w="1838"/>
        <w:gridCol w:w="1593"/>
        <w:gridCol w:w="1840"/>
      </w:tblGrid>
      <w:tr w:rsidR="00A61C45" w:rsidRPr="00A61C45" w:rsidTr="00C236B4">
        <w:trPr>
          <w:trHeight w:val="1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ΤΜΗΜΑ Β’</w:t>
            </w:r>
          </w:p>
        </w:tc>
      </w:tr>
      <w:tr w:rsidR="00A61C45" w:rsidRPr="00A61C45" w:rsidTr="00C236B4">
        <w:trPr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Α/Α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ΤΙΤΛΟΣ ΠΑΡΑΔΟΤΕΟΥ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ΠΡΟΣΦΕΡΟΜΕΝΗ ΤΙΜΗ ΧΩΡΙΣ ΦΠΑ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ΜΕ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</w:tr>
      <w:tr w:rsidR="00A61C45" w:rsidRPr="00A61C45" w:rsidTr="00C236B4">
        <w:trPr>
          <w:trHeight w:val="76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4.1.3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US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Προμήθει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α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εξο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>πλισμού π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ληροφορικής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(Supply of IT infrastructure)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A61C45" w:rsidRPr="00A61C45" w:rsidTr="00C236B4">
        <w:trPr>
          <w:trHeight w:val="240"/>
        </w:trPr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ΣΥΝΟΛΟ ΤΜΗΜΑΤΟΣ Β’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A61C45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</w:tr>
    </w:tbl>
    <w:p w:rsidR="00C90EAC" w:rsidRDefault="00C90EAC" w:rsidP="00A61C45">
      <w:pPr>
        <w:suppressAutoHyphens/>
        <w:spacing w:after="12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XSpec="center" w:tblpY="184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6082"/>
      </w:tblGrid>
      <w:tr w:rsidR="00A61C45" w:rsidRPr="00A61C45" w:rsidTr="00C236B4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) </w:t>
            </w:r>
          </w:p>
        </w:tc>
        <w:tc>
          <w:tcPr>
            <w:tcW w:w="6082" w:type="dxa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A61C45" w:rsidRPr="00A61C45" w:rsidTr="00C236B4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)</w:t>
            </w:r>
          </w:p>
        </w:tc>
        <w:tc>
          <w:tcPr>
            <w:tcW w:w="6082" w:type="dxa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</w:tbl>
    <w:p w:rsidR="00A61C45" w:rsidRDefault="00A61C45" w:rsidP="00A61C45">
      <w:pPr>
        <w:suppressAutoHyphens/>
        <w:spacing w:after="120" w:line="240" w:lineRule="auto"/>
        <w:jc w:val="both"/>
        <w:rPr>
          <w:lang w:val="en-US"/>
        </w:rPr>
      </w:pPr>
    </w:p>
    <w:tbl>
      <w:tblPr>
        <w:tblW w:w="547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70"/>
        <w:gridCol w:w="3300"/>
        <w:gridCol w:w="2301"/>
        <w:gridCol w:w="1197"/>
        <w:gridCol w:w="1855"/>
      </w:tblGrid>
      <w:tr w:rsidR="00A61C45" w:rsidRPr="00A61C45" w:rsidTr="00716607">
        <w:trPr>
          <w:trHeight w:val="1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lastRenderedPageBreak/>
              <w:t>ΤΜΗΜΑ Γ’</w:t>
            </w:r>
          </w:p>
        </w:tc>
      </w:tr>
      <w:tr w:rsidR="00716607" w:rsidRPr="00A61C45" w:rsidTr="00716607">
        <w:trPr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Α/Α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ΤΙΤΛΟΣ ΠΑΡΑΔΟΤΕΟΥ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ΠΡΟΣΦΕΡΟΜΕΝΗ ΤΙΜΗ ΧΩΡΙΣ ΦΠΑ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ΜΕ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ΦΠΑ</w:t>
            </w:r>
            <w:proofErr w:type="spellEnd"/>
          </w:p>
        </w:tc>
      </w:tr>
      <w:tr w:rsidR="00716607" w:rsidRPr="00A61C45" w:rsidTr="00716607">
        <w:trPr>
          <w:trHeight w:val="47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2.1.1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Σχέδιο επικοινωνίας του έργου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Communication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Plan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27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2.1.2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Διοργάνωση τελικής εκδήλωσης του έργου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Final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Event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2.1.3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Δημιουργία υλικού διάχυσης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Dissemination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Material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2.1.4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 xml:space="preserve">Ανάπτυξη ιστοσελίδας του έργου (Project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website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2.1.5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Διοργάνωση δράσεων ευαισθητοποίησης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Raising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Awareness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Actions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3.1.1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Διοργάνωση εργαστηρίων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Workshops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3.1.2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Σχέδιο λειτουργίας της κινητής μονάδας υγείας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Mobile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Health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Unit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Operation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Plan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3.1.3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Επιχειρηματικό σχέδιο για τη παροχή υπηρεσιών πρωτοβάθμιας υγείας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Business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Plan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the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provision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of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primary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healthcare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services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5.1.1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Κινητή μονάδα υγείας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Mobile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Unit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5.1.2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Διοργάνωση Σεμιναρίων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Seminars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6.1.1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</w:rPr>
            </w:pPr>
            <w:r w:rsidRPr="00A61C45">
              <w:rPr>
                <w:rFonts w:ascii="Calibri" w:eastAsia="Times New Roman" w:hAnsi="Calibri" w:cs="Arial"/>
                <w:b/>
              </w:rPr>
              <w:t>Αξιολόγηση των δράσεων (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Evaluation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 xml:space="preserve"> &amp; </w:t>
            </w:r>
            <w:proofErr w:type="spellStart"/>
            <w:r w:rsidRPr="00A61C45">
              <w:rPr>
                <w:rFonts w:ascii="Calibri" w:eastAsia="Times New Roman" w:hAnsi="Calibri" w:cs="Arial"/>
                <w:b/>
              </w:rPr>
              <w:t>Assessment</w:t>
            </w:r>
            <w:proofErr w:type="spellEnd"/>
            <w:r w:rsidRPr="00A61C45">
              <w:rPr>
                <w:rFonts w:ascii="Calibri" w:eastAsia="Times New Roman" w:hAnsi="Calibri" w:cs="Arial"/>
                <w:b/>
              </w:rPr>
              <w:t>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6.1.2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US"/>
              </w:rPr>
            </w:pPr>
            <w:r w:rsidRPr="00A61C45">
              <w:rPr>
                <w:rFonts w:ascii="Calibri" w:eastAsia="Times New Roman" w:hAnsi="Calibri" w:cs="Arial"/>
                <w:b/>
              </w:rPr>
              <w:t>Συνεισφορά</w:t>
            </w:r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r w:rsidRPr="00A61C45">
              <w:rPr>
                <w:rFonts w:ascii="Calibri" w:eastAsia="Times New Roman" w:hAnsi="Calibri" w:cs="Arial"/>
                <w:b/>
              </w:rPr>
              <w:t>στη</w:t>
            </w:r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r w:rsidRPr="00A61C45">
              <w:rPr>
                <w:rFonts w:ascii="Calibri" w:eastAsia="Times New Roman" w:hAnsi="Calibri" w:cs="Arial"/>
                <w:b/>
              </w:rPr>
              <w:t>μελέτη</w:t>
            </w:r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r w:rsidRPr="00A61C45">
              <w:rPr>
                <w:rFonts w:ascii="Calibri" w:eastAsia="Times New Roman" w:hAnsi="Calibri" w:cs="Arial"/>
                <w:b/>
              </w:rPr>
              <w:t>βιωσιμότητας</w:t>
            </w:r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(Contribution to Feasibility Study)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5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6.1.3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US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Πρωτόκολο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US"/>
              </w:rPr>
              <w:t>συνεργ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US"/>
              </w:rPr>
              <w:t>ασίας (Memorandum of understanding/ MoU)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240"/>
        </w:trPr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A61C45">
              <w:rPr>
                <w:rFonts w:ascii="Calibri" w:eastAsia="Times New Roman" w:hAnsi="Calibri" w:cs="Arial"/>
                <w:b/>
                <w:bCs/>
              </w:rPr>
              <w:t>ΣΥΝΟΛΟ ΤΜΗΜΑΤΟΣ Γ’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61C45" w:rsidRPr="00A61C45" w:rsidRDefault="00A61C45" w:rsidP="00C236B4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334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6082"/>
      </w:tblGrid>
      <w:tr w:rsidR="00716607" w:rsidRPr="00A61C45" w:rsidTr="00716607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716607" w:rsidRPr="00A61C45" w:rsidRDefault="00716607" w:rsidP="0071660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bookmarkStart w:id="0" w:name="_GoBack"/>
            <w:bookmarkEnd w:id="0"/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) </w:t>
            </w:r>
          </w:p>
        </w:tc>
        <w:tc>
          <w:tcPr>
            <w:tcW w:w="6082" w:type="dxa"/>
            <w:vAlign w:val="center"/>
          </w:tcPr>
          <w:p w:rsidR="00716607" w:rsidRPr="00A61C45" w:rsidRDefault="00716607" w:rsidP="0071660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ριθμητικώς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  <w:tr w:rsidR="00716607" w:rsidRPr="00A61C45" w:rsidTr="00716607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716607" w:rsidRPr="00A61C45" w:rsidRDefault="00716607" w:rsidP="0071660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ΣΥΝΟΛΙΚΗ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ΠΡΟΣΦΕΡΟΜΕΝΗ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ΤΙΜΗ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(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)</w:t>
            </w:r>
          </w:p>
        </w:tc>
        <w:tc>
          <w:tcPr>
            <w:tcW w:w="6082" w:type="dxa"/>
            <w:vAlign w:val="center"/>
          </w:tcPr>
          <w:p w:rsidR="00716607" w:rsidRPr="00A61C45" w:rsidRDefault="00716607" w:rsidP="0071660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lang w:val="en-GB"/>
              </w:rPr>
            </w:pPr>
            <w:r w:rsidRPr="00A61C45">
              <w:rPr>
                <w:rFonts w:ascii="Calibri" w:eastAsia="Times New Roman" w:hAnsi="Calibri" w:cs="Arial"/>
                <w:b/>
                <w:lang w:val="en-GB"/>
              </w:rPr>
              <w:t>&lt;α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ριθμός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 xml:space="preserve"> </w:t>
            </w:r>
            <w:proofErr w:type="spellStart"/>
            <w:r w:rsidRPr="00A61C45">
              <w:rPr>
                <w:rFonts w:ascii="Calibri" w:eastAsia="Times New Roman" w:hAnsi="Calibri" w:cs="Arial"/>
                <w:b/>
                <w:lang w:val="en-GB"/>
              </w:rPr>
              <w:t>ολογράφως</w:t>
            </w:r>
            <w:proofErr w:type="spellEnd"/>
            <w:r w:rsidRPr="00A61C45">
              <w:rPr>
                <w:rFonts w:ascii="Calibri" w:eastAsia="Times New Roman" w:hAnsi="Calibri" w:cs="Arial"/>
                <w:b/>
                <w:lang w:val="en-GB"/>
              </w:rPr>
              <w:t>&gt;</w:t>
            </w:r>
          </w:p>
        </w:tc>
      </w:tr>
    </w:tbl>
    <w:p w:rsidR="00A61C45" w:rsidRDefault="00A61C45" w:rsidP="00A61C45">
      <w:pPr>
        <w:suppressAutoHyphens/>
        <w:spacing w:after="120" w:line="240" w:lineRule="auto"/>
        <w:jc w:val="both"/>
        <w:rPr>
          <w:lang w:val="en-US"/>
        </w:rPr>
      </w:pPr>
    </w:p>
    <w:p w:rsidR="00716607" w:rsidRPr="00A61C45" w:rsidRDefault="00716607" w:rsidP="00A61C45">
      <w:pPr>
        <w:suppressAutoHyphens/>
        <w:spacing w:after="120" w:line="240" w:lineRule="auto"/>
        <w:jc w:val="both"/>
        <w:rPr>
          <w:lang w:val="en-US"/>
        </w:rPr>
      </w:pPr>
    </w:p>
    <w:sectPr w:rsidR="00716607" w:rsidRPr="00A61C45" w:rsidSect="00A61C45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6"/>
    <w:rsid w:val="00716607"/>
    <w:rsid w:val="00A61C45"/>
    <w:rsid w:val="00C90EAC"/>
    <w:rsid w:val="00E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Γούσιου</dc:creator>
  <cp:lastModifiedBy>Κατερίνα Γούσιου</cp:lastModifiedBy>
  <cp:revision>2</cp:revision>
  <dcterms:created xsi:type="dcterms:W3CDTF">2019-08-27T09:49:00Z</dcterms:created>
  <dcterms:modified xsi:type="dcterms:W3CDTF">2019-08-28T09:25:00Z</dcterms:modified>
</cp:coreProperties>
</file>